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C44EF4" w14:textId="2992F5A9" w:rsidR="00CE56FF" w:rsidRPr="00CE56FF" w:rsidRDefault="00CE56FF" w:rsidP="00CE56FF">
      <w:pPr>
        <w:spacing w:line="480" w:lineRule="auto"/>
        <w:jc w:val="center"/>
        <w:rPr>
          <w:b/>
          <w:bCs w:val="0"/>
        </w:rPr>
      </w:pPr>
      <w:r>
        <w:rPr>
          <w:b/>
        </w:rPr>
        <w:t>Organizational Development</w:t>
      </w:r>
      <w:r w:rsidR="006C787F">
        <w:rPr>
          <w:b/>
        </w:rPr>
        <w:t xml:space="preserve"> and Change</w:t>
      </w:r>
    </w:p>
    <w:p w14:paraId="176FC677" w14:textId="2A5B4073" w:rsidR="00072E86" w:rsidRPr="00072E86" w:rsidRDefault="00072E86" w:rsidP="00337BFF">
      <w:pPr>
        <w:spacing w:line="480" w:lineRule="auto"/>
        <w:ind w:firstLine="720"/>
      </w:pPr>
      <w:r w:rsidRPr="00072E86">
        <w:t xml:space="preserve">Inclusion and diversity at the workplace are very important especially in modern businesses (Cummings &amp; Worley, 2019). Every organization that believes in expansion aims to acquire talents, manage and optimize them to aid its mission of accomplishing the set goals. Organizations in the modern world face various trends. The major two trends faced are the use of Artificial Intelligence to remove prejudices that are unconscious and interlinking the diversity and inclusion programs with the brand reputation and customer experience. </w:t>
      </w:r>
    </w:p>
    <w:p w14:paraId="231512CA" w14:textId="694555FF" w:rsidR="00072E86" w:rsidRPr="00072E86" w:rsidRDefault="00DB3F0F" w:rsidP="00DB3F0F">
      <w:pPr>
        <w:spacing w:line="480" w:lineRule="auto"/>
        <w:ind w:firstLine="720"/>
      </w:pPr>
      <w:r>
        <w:t xml:space="preserve">For organizations </w:t>
      </w:r>
      <w:r w:rsidR="00072E86" w:rsidRPr="00072E86">
        <w:t xml:space="preserve">to cope up with these trends, </w:t>
      </w:r>
      <w:r>
        <w:t xml:space="preserve">they </w:t>
      </w:r>
      <w:r w:rsidR="00072E86" w:rsidRPr="00072E86">
        <w:t>have developed relevant measures. Organizations are employing Artificial intelligence in recruitment processes to eliminate biases that are related to gender, age, and race of candidates including their length of service at organizations they served previously. The machines sort out resumes of applicants hence elimi</w:t>
      </w:r>
      <w:r>
        <w:t xml:space="preserve">nating the influence of humans. </w:t>
      </w:r>
      <w:r w:rsidR="00072E86" w:rsidRPr="00072E86">
        <w:t xml:space="preserve">Artificial Intelligence (AI), further, is used in evaluating and </w:t>
      </w:r>
      <w:proofErr w:type="spellStart"/>
      <w:r w:rsidR="00072E86" w:rsidRPr="00072E86">
        <w:t>analysing</w:t>
      </w:r>
      <w:proofErr w:type="spellEnd"/>
      <w:r w:rsidR="00072E86" w:rsidRPr="00072E86">
        <w:t xml:space="preserve"> the recruitment demographic distribution hence ensures that there is an equal and fair distribution of candidates. AI as well as fastens the recruitment process. </w:t>
      </w:r>
    </w:p>
    <w:p w14:paraId="66ECCFDD" w14:textId="40E66251" w:rsidR="00072E86" w:rsidRPr="00072E86" w:rsidRDefault="00072E86" w:rsidP="00DB3F0F">
      <w:pPr>
        <w:spacing w:line="480" w:lineRule="auto"/>
        <w:ind w:firstLine="720"/>
      </w:pPr>
      <w:r w:rsidRPr="00072E86">
        <w:t>Modern organizations are using new solutions and technologies to trigger their initiatives of diversity and inclusion. The campaigns that involve the customers or initiatives of branding usually have a core proposition of diversity</w:t>
      </w:r>
      <w:r w:rsidR="00DB3F0F">
        <w:t xml:space="preserve"> (Henderson &amp; </w:t>
      </w:r>
      <w:proofErr w:type="spellStart"/>
      <w:r w:rsidR="00DB3F0F">
        <w:t>Boje</w:t>
      </w:r>
      <w:proofErr w:type="spellEnd"/>
      <w:r w:rsidR="00DB3F0F">
        <w:t xml:space="preserve">, </w:t>
      </w:r>
      <w:r w:rsidR="00DB3F0F" w:rsidRPr="007A7F46">
        <w:t>2015)</w:t>
      </w:r>
      <w:r w:rsidRPr="00072E86">
        <w:t xml:space="preserve">. Consumer loyalty is promoted by the equality at places of work and cultures that are inclusive yield customer bases that are very strong. The customers, being the backbone of any business, their satisfaction will </w:t>
      </w:r>
      <w:r w:rsidR="00DB3F0F">
        <w:t xml:space="preserve">always see the business thrive. </w:t>
      </w:r>
      <w:bookmarkStart w:id="0" w:name="_GoBack"/>
      <w:bookmarkEnd w:id="0"/>
      <w:r w:rsidRPr="00072E86">
        <w:t xml:space="preserve">Hodges, (2017) argues that a corporate identity that is people-oriented and more progressive is built when the commitment of a company to inclusion is established and emphasized. The amount earned from the sale of products and the profitability of the organization is boosted in the short-run. The commitment </w:t>
      </w:r>
      <w:r w:rsidRPr="00072E86">
        <w:lastRenderedPageBreak/>
        <w:t xml:space="preserve">of the company to beliefs and ideas that are socially sensitive is also improved in the long-run. </w:t>
      </w:r>
    </w:p>
    <w:p w14:paraId="25EF2C06" w14:textId="77777777" w:rsidR="00072E86" w:rsidRPr="00072E86" w:rsidRDefault="00072E86" w:rsidP="00072E86">
      <w:pPr>
        <w:spacing w:line="480" w:lineRule="auto"/>
      </w:pPr>
    </w:p>
    <w:p w14:paraId="6378BABE" w14:textId="77777777" w:rsidR="00072E86" w:rsidRPr="00072E86" w:rsidRDefault="00072E86" w:rsidP="00072E86">
      <w:pPr>
        <w:spacing w:line="480" w:lineRule="auto"/>
      </w:pPr>
    </w:p>
    <w:p w14:paraId="29A0FFB0" w14:textId="77777777" w:rsidR="00072E86" w:rsidRPr="00072E86" w:rsidRDefault="00072E86" w:rsidP="00072E86">
      <w:pPr>
        <w:spacing w:line="480" w:lineRule="auto"/>
      </w:pPr>
    </w:p>
    <w:p w14:paraId="207DD5A9" w14:textId="77777777" w:rsidR="00072E86" w:rsidRPr="00072E86" w:rsidRDefault="00072E86" w:rsidP="00072E86">
      <w:pPr>
        <w:spacing w:line="480" w:lineRule="auto"/>
      </w:pPr>
    </w:p>
    <w:p w14:paraId="167A7C41" w14:textId="77777777" w:rsidR="00072E86" w:rsidRPr="00072E86" w:rsidRDefault="00072E86" w:rsidP="00072E86">
      <w:pPr>
        <w:spacing w:line="480" w:lineRule="auto"/>
      </w:pPr>
    </w:p>
    <w:p w14:paraId="73FD8481" w14:textId="77777777" w:rsidR="00072E86" w:rsidRPr="00072E86" w:rsidRDefault="00072E86" w:rsidP="00072E86">
      <w:pPr>
        <w:spacing w:line="480" w:lineRule="auto"/>
      </w:pPr>
    </w:p>
    <w:p w14:paraId="5FD14039" w14:textId="77777777" w:rsidR="00072E86" w:rsidRPr="00072E86" w:rsidRDefault="00072E86" w:rsidP="00072E86">
      <w:pPr>
        <w:spacing w:line="480" w:lineRule="auto"/>
      </w:pPr>
    </w:p>
    <w:p w14:paraId="7999B22E" w14:textId="77777777" w:rsidR="00072E86" w:rsidRPr="00072E86" w:rsidRDefault="00072E86" w:rsidP="00072E86">
      <w:pPr>
        <w:spacing w:line="480" w:lineRule="auto"/>
      </w:pPr>
    </w:p>
    <w:p w14:paraId="185588FF" w14:textId="77777777" w:rsidR="00072E86" w:rsidRPr="00072E86" w:rsidRDefault="00072E86" w:rsidP="00072E86">
      <w:pPr>
        <w:spacing w:line="480" w:lineRule="auto"/>
      </w:pPr>
    </w:p>
    <w:p w14:paraId="247562E6" w14:textId="77777777" w:rsidR="00072E86" w:rsidRPr="00072E86" w:rsidRDefault="00072E86" w:rsidP="00072E86">
      <w:pPr>
        <w:spacing w:line="480" w:lineRule="auto"/>
      </w:pPr>
    </w:p>
    <w:p w14:paraId="465FD73D" w14:textId="77777777" w:rsidR="00072E86" w:rsidRPr="00072E86" w:rsidRDefault="00072E86" w:rsidP="00072E86">
      <w:pPr>
        <w:spacing w:line="480" w:lineRule="auto"/>
      </w:pPr>
    </w:p>
    <w:p w14:paraId="65D11626" w14:textId="77777777" w:rsidR="00072E86" w:rsidRPr="00072E86" w:rsidRDefault="00072E86" w:rsidP="00072E86">
      <w:pPr>
        <w:spacing w:line="480" w:lineRule="auto"/>
      </w:pPr>
    </w:p>
    <w:p w14:paraId="214BAB97" w14:textId="77777777" w:rsidR="00072E86" w:rsidRPr="00072E86" w:rsidRDefault="00072E86" w:rsidP="00072E86">
      <w:pPr>
        <w:spacing w:line="480" w:lineRule="auto"/>
      </w:pPr>
    </w:p>
    <w:p w14:paraId="6F027607" w14:textId="77777777" w:rsidR="00072E86" w:rsidRPr="00072E86" w:rsidRDefault="00072E86" w:rsidP="00072E86">
      <w:pPr>
        <w:spacing w:line="480" w:lineRule="auto"/>
      </w:pPr>
    </w:p>
    <w:p w14:paraId="2328BE47" w14:textId="77777777" w:rsidR="002279F1" w:rsidRDefault="002279F1" w:rsidP="00072E86">
      <w:pPr>
        <w:spacing w:line="480" w:lineRule="auto"/>
      </w:pPr>
    </w:p>
    <w:p w14:paraId="5B8828AF" w14:textId="77777777" w:rsidR="002279F1" w:rsidRDefault="002279F1" w:rsidP="00072E86">
      <w:pPr>
        <w:spacing w:line="480" w:lineRule="auto"/>
      </w:pPr>
    </w:p>
    <w:p w14:paraId="0341E425" w14:textId="77777777" w:rsidR="002279F1" w:rsidRDefault="002279F1" w:rsidP="00072E86">
      <w:pPr>
        <w:spacing w:line="480" w:lineRule="auto"/>
      </w:pPr>
    </w:p>
    <w:p w14:paraId="77454555" w14:textId="77777777" w:rsidR="002279F1" w:rsidRDefault="002279F1" w:rsidP="00072E86">
      <w:pPr>
        <w:spacing w:line="480" w:lineRule="auto"/>
      </w:pPr>
    </w:p>
    <w:p w14:paraId="4C76D0E5" w14:textId="11DA1ADD" w:rsidR="00072E86" w:rsidRPr="002279F1" w:rsidRDefault="00072E86" w:rsidP="002279F1">
      <w:pPr>
        <w:spacing w:line="480" w:lineRule="auto"/>
        <w:jc w:val="center"/>
        <w:rPr>
          <w:b/>
          <w:bCs w:val="0"/>
        </w:rPr>
      </w:pPr>
      <w:r w:rsidRPr="002279F1">
        <w:rPr>
          <w:b/>
        </w:rPr>
        <w:lastRenderedPageBreak/>
        <w:t>References</w:t>
      </w:r>
    </w:p>
    <w:p w14:paraId="0538BFD4" w14:textId="77777777" w:rsidR="00072E86" w:rsidRDefault="00072E86" w:rsidP="007A7F46">
      <w:pPr>
        <w:spacing w:after="0" w:line="480" w:lineRule="auto"/>
        <w:ind w:left="720" w:hanging="720"/>
      </w:pPr>
      <w:proofErr w:type="gramStart"/>
      <w:r w:rsidRPr="00072E86">
        <w:t>Cummings, T. G., &amp; Worley, C. G. (2019).</w:t>
      </w:r>
      <w:proofErr w:type="gramEnd"/>
      <w:r w:rsidRPr="00072E86">
        <w:t xml:space="preserve"> </w:t>
      </w:r>
      <w:proofErr w:type="gramStart"/>
      <w:r w:rsidRPr="00072E86">
        <w:t>Organization development and change.</w:t>
      </w:r>
      <w:proofErr w:type="gramEnd"/>
    </w:p>
    <w:p w14:paraId="24F6B290" w14:textId="11B815CB" w:rsidR="007A7F46" w:rsidRDefault="007A7F46" w:rsidP="007A7F46">
      <w:pPr>
        <w:spacing w:after="0" w:line="480" w:lineRule="auto"/>
        <w:ind w:left="720" w:hanging="720"/>
      </w:pPr>
      <w:proofErr w:type="gramStart"/>
      <w:r w:rsidRPr="007A7F46">
        <w:t xml:space="preserve">Henderson, T., &amp; </w:t>
      </w:r>
      <w:proofErr w:type="spellStart"/>
      <w:r w:rsidRPr="007A7F46">
        <w:t>Boje</w:t>
      </w:r>
      <w:proofErr w:type="spellEnd"/>
      <w:r w:rsidRPr="007A7F46">
        <w:t>, D. M. (2015).</w:t>
      </w:r>
      <w:proofErr w:type="gramEnd"/>
      <w:r w:rsidRPr="007A7F46">
        <w:t> </w:t>
      </w:r>
      <w:r w:rsidRPr="007A7F46">
        <w:rPr>
          <w:i/>
          <w:iCs/>
        </w:rPr>
        <w:t>Organizational development and change theory: Managing fractal organizing processes</w:t>
      </w:r>
      <w:r w:rsidRPr="007A7F46">
        <w:t xml:space="preserve">. </w:t>
      </w:r>
      <w:proofErr w:type="gramStart"/>
      <w:r w:rsidRPr="007A7F46">
        <w:t>Routledge.</w:t>
      </w:r>
      <w:proofErr w:type="gramEnd"/>
    </w:p>
    <w:p w14:paraId="03778EC4" w14:textId="005A5173" w:rsidR="007A7F46" w:rsidRDefault="007A7F46" w:rsidP="007A7F46">
      <w:pPr>
        <w:spacing w:after="0" w:line="480" w:lineRule="auto"/>
        <w:ind w:left="720" w:hanging="720"/>
      </w:pPr>
      <w:r w:rsidRPr="007A7F46">
        <w:t>Hodges, J. (2017). </w:t>
      </w:r>
      <w:r w:rsidRPr="007A7F46">
        <w:rPr>
          <w:i/>
          <w:iCs/>
        </w:rPr>
        <w:t>Consultancy, organizational development and change: a practical guide to delivering value</w:t>
      </w:r>
      <w:r w:rsidRPr="007A7F46">
        <w:t xml:space="preserve">. </w:t>
      </w:r>
      <w:proofErr w:type="spellStart"/>
      <w:proofErr w:type="gramStart"/>
      <w:r w:rsidRPr="007A7F46">
        <w:t>Kogan</w:t>
      </w:r>
      <w:proofErr w:type="spellEnd"/>
      <w:r w:rsidRPr="007A7F46">
        <w:t xml:space="preserve"> Page Publishers.</w:t>
      </w:r>
      <w:proofErr w:type="gramEnd"/>
    </w:p>
    <w:p w14:paraId="580678E3" w14:textId="78D0E0B2" w:rsidR="007A7F46" w:rsidRPr="00072E86" w:rsidRDefault="007A7F46" w:rsidP="007A7F46">
      <w:pPr>
        <w:spacing w:after="0" w:line="480" w:lineRule="auto"/>
        <w:ind w:left="720" w:hanging="720"/>
      </w:pPr>
    </w:p>
    <w:sectPr w:rsidR="007A7F46" w:rsidRPr="00072E8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FAE5A6" w14:textId="77777777" w:rsidR="00EE24A6" w:rsidRDefault="00EE24A6" w:rsidP="00DB3F0F">
      <w:pPr>
        <w:spacing w:after="0" w:line="240" w:lineRule="auto"/>
      </w:pPr>
      <w:r>
        <w:separator/>
      </w:r>
    </w:p>
  </w:endnote>
  <w:endnote w:type="continuationSeparator" w:id="0">
    <w:p w14:paraId="2E04D80D" w14:textId="77777777" w:rsidR="00EE24A6" w:rsidRDefault="00EE24A6" w:rsidP="00DB3F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EF1419" w14:textId="77777777" w:rsidR="00EE24A6" w:rsidRDefault="00EE24A6" w:rsidP="00DB3F0F">
      <w:pPr>
        <w:spacing w:after="0" w:line="240" w:lineRule="auto"/>
      </w:pPr>
      <w:r>
        <w:separator/>
      </w:r>
    </w:p>
  </w:footnote>
  <w:footnote w:type="continuationSeparator" w:id="0">
    <w:p w14:paraId="6159C869" w14:textId="77777777" w:rsidR="00EE24A6" w:rsidRDefault="00EE24A6" w:rsidP="00DB3F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259688"/>
      <w:docPartObj>
        <w:docPartGallery w:val="Page Numbers (Top of Page)"/>
        <w:docPartUnique/>
      </w:docPartObj>
    </w:sdtPr>
    <w:sdtEndPr>
      <w:rPr>
        <w:noProof/>
      </w:rPr>
    </w:sdtEndPr>
    <w:sdtContent>
      <w:p w14:paraId="2885CFE5" w14:textId="038437FA" w:rsidR="00DB3F0F" w:rsidRDefault="00DB3F0F">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0F95D31E" w14:textId="77777777" w:rsidR="00DB3F0F" w:rsidRDefault="00DB3F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8C5"/>
    <w:rsid w:val="00072E86"/>
    <w:rsid w:val="002279F1"/>
    <w:rsid w:val="00337BFF"/>
    <w:rsid w:val="006C787F"/>
    <w:rsid w:val="007A7F46"/>
    <w:rsid w:val="00B448C5"/>
    <w:rsid w:val="00CE56FF"/>
    <w:rsid w:val="00DB3F0F"/>
    <w:rsid w:val="00EE24A6"/>
    <w:rsid w:val="00FD6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0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3F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F0F"/>
  </w:style>
  <w:style w:type="paragraph" w:styleId="Footer">
    <w:name w:val="footer"/>
    <w:basedOn w:val="Normal"/>
    <w:link w:val="FooterChar"/>
    <w:uiPriority w:val="99"/>
    <w:unhideWhenUsed/>
    <w:rsid w:val="00DB3F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F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3F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F0F"/>
  </w:style>
  <w:style w:type="paragraph" w:styleId="Footer">
    <w:name w:val="footer"/>
    <w:basedOn w:val="Normal"/>
    <w:link w:val="FooterChar"/>
    <w:uiPriority w:val="99"/>
    <w:unhideWhenUsed/>
    <w:rsid w:val="00DB3F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372</Words>
  <Characters>2126</Characters>
  <Application>Microsoft Office Word</Application>
  <DocSecurity>0</DocSecurity>
  <Lines>17</Lines>
  <Paragraphs>4</Paragraphs>
  <ScaleCrop>false</ScaleCrop>
  <Company/>
  <LinksUpToDate>false</LinksUpToDate>
  <CharactersWithSpaces>2494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9</cp:revision>
  <dcterms:created xsi:type="dcterms:W3CDTF">2020-07-12T17:34:00Z</dcterms:created>
  <dcterms:modified xsi:type="dcterms:W3CDTF">2020-07-12T20:40:00Z</dcterms:modified>
</cp:coreProperties>
</file>